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Hurricane American Legion Equestrian Park Policy</w:t>
      </w:r>
    </w:p>
    <w:p>
      <w:r>
        <w:t>2518 South 630 West • Hurricane, Utah</w:t>
      </w:r>
    </w:p>
    <w:p>
      <w:r>
        <w:t>This policy governs facility rentals, public access, and use of the Hurricane American Legion Equestrian Park. Adopted January 5, 2023, and ratified by Resolution 2023-16 on March 16, 2023.</w:t>
      </w:r>
    </w:p>
    <w:p>
      <w:pPr>
        <w:pStyle w:val="Heading1"/>
      </w:pPr>
      <w:r>
        <w:t>Rental fees and reservations</w:t>
      </w:r>
    </w:p>
    <w:tbl>
      <w:tblPr>
        <w:tblStyle w:val="TableGrid"/>
        <w:tblW w:type="auto" w:w="0"/>
        <w:tblLayout w:type="fixed"/>
        <w:tblLook w:firstColumn="1" w:firstRow="1" w:lastColumn="0" w:lastRow="0" w:noHBand="0" w:noVBand="1" w:val="04A0"/>
      </w:tblPr>
      <w:tblGrid>
        <w:gridCol w:w="2556"/>
        <w:gridCol w:w="2556"/>
        <w:gridCol w:w="2556"/>
        <w:gridCol w:w="2556"/>
      </w:tblGrid>
      <w:tr>
        <w:trPr>
          <w:tblHeader/>
        </w:trPr>
        <w:tc>
          <w:tcPr>
            <w:tcW w:type="dxa" w:w="2045"/>
          </w:tcPr>
          <w:p>
            <w:pPr>
              <w:spacing w:after="60" w:before="60"/>
            </w:pPr>
            <w:r>
              <w:rPr>
                <w:b/>
                <w:sz w:val="19"/>
              </w:rPr>
              <w:t>Facility or service</w:t>
            </w:r>
          </w:p>
        </w:tc>
        <w:tc>
          <w:tcPr>
            <w:tcW w:type="dxa" w:w="3370"/>
          </w:tcPr>
          <w:p>
            <w:pPr>
              <w:spacing w:after="60" w:before="60"/>
            </w:pPr>
            <w:r>
              <w:rPr>
                <w:b/>
                <w:sz w:val="19"/>
              </w:rPr>
              <w:t>Standard fee</w:t>
            </w:r>
          </w:p>
        </w:tc>
        <w:tc>
          <w:tcPr>
            <w:tcW w:type="dxa" w:w="2520"/>
          </w:tcPr>
          <w:p>
            <w:pPr>
              <w:spacing w:after="60" w:before="60"/>
            </w:pPr>
            <w:r>
              <w:rPr>
                <w:b/>
                <w:sz w:val="19"/>
              </w:rPr>
              <w:t>Ticketed event fee</w:t>
            </w:r>
          </w:p>
        </w:tc>
        <w:tc>
          <w:tcPr>
            <w:tcW w:type="dxa" w:w="1656"/>
          </w:tcPr>
          <w:p>
            <w:pPr>
              <w:spacing w:after="60" w:before="60"/>
            </w:pPr>
            <w:r>
              <w:rPr>
                <w:b/>
                <w:sz w:val="19"/>
              </w:rPr>
              <w:t>Additional hours</w:t>
            </w:r>
          </w:p>
        </w:tc>
      </w:tr>
      <w:tr>
        <w:tc>
          <w:tcPr>
            <w:tcW w:type="dxa" w:w="2045"/>
          </w:tcPr>
          <w:p>
            <w:pPr>
              <w:spacing w:after="60" w:before="60"/>
            </w:pPr>
            <w:r>
              <w:rPr>
                <w:sz w:val="19"/>
              </w:rPr>
              <w:t>Main Arena</w:t>
            </w:r>
          </w:p>
        </w:tc>
        <w:tc>
          <w:tcPr>
            <w:tcW w:type="dxa" w:w="3370"/>
          </w:tcPr>
          <w:p>
            <w:pPr>
              <w:spacing w:after="60" w:before="60"/>
            </w:pPr>
            <w:r>
              <w:rPr>
                <w:sz w:val="19"/>
              </w:rPr>
              <w:t>$250 per day (8 hours)</w:t>
              <w:br/>
              <w:t>$150 per half day (4 hours)</w:t>
            </w:r>
          </w:p>
        </w:tc>
        <w:tc>
          <w:tcPr>
            <w:tcW w:type="dxa" w:w="2520"/>
          </w:tcPr>
          <w:p>
            <w:pPr>
              <w:spacing w:after="60" w:before="60"/>
            </w:pPr>
            <w:r>
              <w:rPr>
                <w:sz w:val="19"/>
              </w:rPr>
              <w:t>$1,000 per day (8 hours)</w:t>
              <w:br/>
              <w:t>$600 per half day (4 hours)</w:t>
            </w:r>
          </w:p>
        </w:tc>
        <w:tc>
          <w:tcPr>
            <w:tcW w:type="dxa" w:w="1656"/>
          </w:tcPr>
          <w:p>
            <w:pPr>
              <w:spacing w:after="60" w:before="60"/>
            </w:pPr>
            <w:r>
              <w:rPr>
                <w:sz w:val="19"/>
              </w:rPr>
              <w:t>$32 per hour</w:t>
            </w:r>
          </w:p>
        </w:tc>
      </w:tr>
      <w:tr>
        <w:tc>
          <w:tcPr>
            <w:tcW w:type="dxa" w:w="2045"/>
          </w:tcPr>
          <w:p>
            <w:pPr>
              <w:spacing w:after="60" w:before="60"/>
            </w:pPr>
            <w:r>
              <w:rPr>
                <w:sz w:val="19"/>
              </w:rPr>
              <w:t>Practice Arena</w:t>
            </w:r>
          </w:p>
        </w:tc>
        <w:tc>
          <w:tcPr>
            <w:tcW w:type="dxa" w:w="3370"/>
          </w:tcPr>
          <w:p>
            <w:pPr>
              <w:spacing w:after="60" w:before="60"/>
            </w:pPr>
            <w:r>
              <w:rPr>
                <w:sz w:val="19"/>
              </w:rPr>
              <w:t>Open to the public; not available for reservation</w:t>
            </w:r>
          </w:p>
        </w:tc>
        <w:tc>
          <w:tcPr>
            <w:tcW w:type="dxa" w:w="2520"/>
          </w:tcPr>
          <w:p>
            <w:pPr>
              <w:spacing w:after="60" w:before="60"/>
            </w:pPr>
            <w:r>
              <w:rPr>
                <w:sz w:val="19"/>
              </w:rPr>
            </w:r>
          </w:p>
        </w:tc>
        <w:tc>
          <w:tcPr>
            <w:tcW w:type="dxa" w:w="1656"/>
          </w:tcPr>
          <w:p>
            <w:pPr>
              <w:spacing w:after="60" w:before="60"/>
            </w:pPr>
            <w:r>
              <w:rPr>
                <w:sz w:val="19"/>
              </w:rPr>
            </w:r>
          </w:p>
        </w:tc>
      </w:tr>
      <w:tr>
        <w:tc>
          <w:tcPr>
            <w:tcW w:type="dxa" w:w="2045"/>
          </w:tcPr>
          <w:p>
            <w:pPr>
              <w:spacing w:after="60" w:before="60"/>
            </w:pPr>
            <w:r>
              <w:rPr>
                <w:sz w:val="19"/>
              </w:rPr>
              <w:t>Ticket and concession building</w:t>
            </w:r>
          </w:p>
        </w:tc>
        <w:tc>
          <w:tcPr>
            <w:tcW w:type="dxa" w:w="3370"/>
          </w:tcPr>
          <w:p>
            <w:pPr>
              <w:spacing w:after="60" w:before="60"/>
            </w:pPr>
            <w:r>
              <w:rPr>
                <w:sz w:val="19"/>
              </w:rPr>
              <w:t>$75 per day (8 hours)</w:t>
              <w:br/>
              <w:t>$40 per half day (4 hours)</w:t>
            </w:r>
          </w:p>
        </w:tc>
        <w:tc>
          <w:tcPr>
            <w:tcW w:type="dxa" w:w="2520"/>
          </w:tcPr>
          <w:p>
            <w:pPr>
              <w:spacing w:after="60" w:before="60"/>
            </w:pPr>
            <w:r>
              <w:rPr>
                <w:sz w:val="19"/>
              </w:rPr>
            </w:r>
          </w:p>
        </w:tc>
        <w:tc>
          <w:tcPr>
            <w:tcW w:type="dxa" w:w="1656"/>
          </w:tcPr>
          <w:p>
            <w:pPr>
              <w:spacing w:after="60" w:before="60"/>
            </w:pPr>
            <w:r>
              <w:rPr>
                <w:sz w:val="19"/>
              </w:rPr>
              <w:t>$10 per hour</w:t>
            </w:r>
          </w:p>
        </w:tc>
      </w:tr>
      <w:tr>
        <w:tc>
          <w:tcPr>
            <w:tcW w:type="dxa" w:w="2045"/>
          </w:tcPr>
          <w:p>
            <w:pPr>
              <w:spacing w:after="60" w:before="60"/>
            </w:pPr>
            <w:r>
              <w:rPr>
                <w:sz w:val="19"/>
              </w:rPr>
              <w:t>Food truck hookups</w:t>
            </w:r>
          </w:p>
        </w:tc>
        <w:tc>
          <w:tcPr>
            <w:tcW w:type="dxa" w:w="3370"/>
          </w:tcPr>
          <w:p>
            <w:pPr>
              <w:spacing w:after="60" w:before="60"/>
            </w:pPr>
            <w:r>
              <w:rPr>
                <w:sz w:val="19"/>
              </w:rPr>
              <w:t>$100 per day (8 hours)</w:t>
              <w:br/>
              <w:t>$50 per half day (4 hours)</w:t>
            </w:r>
          </w:p>
        </w:tc>
        <w:tc>
          <w:tcPr>
            <w:tcW w:type="dxa" w:w="2520"/>
          </w:tcPr>
          <w:p>
            <w:pPr>
              <w:spacing w:after="60" w:before="60"/>
            </w:pPr>
            <w:r>
              <w:rPr>
                <w:sz w:val="19"/>
              </w:rPr>
            </w:r>
          </w:p>
        </w:tc>
        <w:tc>
          <w:tcPr>
            <w:tcW w:type="dxa" w:w="1656"/>
          </w:tcPr>
          <w:p>
            <w:pPr>
              <w:spacing w:after="60" w:before="60"/>
            </w:pPr>
            <w:r>
              <w:rPr>
                <w:sz w:val="19"/>
              </w:rPr>
              <w:t>$13 per hour</w:t>
            </w:r>
          </w:p>
        </w:tc>
      </w:tr>
      <w:tr>
        <w:tc>
          <w:tcPr>
            <w:tcW w:type="dxa" w:w="2045"/>
          </w:tcPr>
          <w:p>
            <w:pPr>
              <w:spacing w:after="60" w:before="60"/>
            </w:pPr>
            <w:r>
              <w:rPr>
                <w:sz w:val="19"/>
              </w:rPr>
              <w:t>Livestock pens</w:t>
            </w:r>
          </w:p>
        </w:tc>
        <w:tc>
          <w:tcPr>
            <w:tcW w:type="dxa" w:w="3370"/>
          </w:tcPr>
          <w:p>
            <w:pPr>
              <w:spacing w:after="60" w:before="60"/>
            </w:pPr>
            <w:r>
              <w:rPr>
                <w:sz w:val="19"/>
              </w:rPr>
              <w:t>$15 per night or $20 per week, per pen</w:t>
            </w:r>
          </w:p>
        </w:tc>
        <w:tc>
          <w:tcPr>
            <w:tcW w:type="dxa" w:w="2520"/>
          </w:tcPr>
          <w:p>
            <w:pPr>
              <w:spacing w:after="60" w:before="60"/>
            </w:pPr>
            <w:r>
              <w:rPr>
                <w:sz w:val="19"/>
              </w:rPr>
            </w:r>
          </w:p>
        </w:tc>
        <w:tc>
          <w:tcPr>
            <w:tcW w:type="dxa" w:w="1656"/>
          </w:tcPr>
          <w:p>
            <w:pPr>
              <w:spacing w:after="60" w:before="60"/>
            </w:pPr>
            <w:r>
              <w:rPr>
                <w:sz w:val="19"/>
              </w:rPr>
            </w:r>
          </w:p>
        </w:tc>
      </w:tr>
      <w:tr>
        <w:tc>
          <w:tcPr>
            <w:tcW w:type="dxa" w:w="2045"/>
          </w:tcPr>
          <w:p>
            <w:pPr>
              <w:spacing w:after="60" w:before="60"/>
            </w:pPr>
            <w:r>
              <w:rPr>
                <w:sz w:val="19"/>
              </w:rPr>
              <w:t>Water truck</w:t>
            </w:r>
          </w:p>
        </w:tc>
        <w:tc>
          <w:tcPr>
            <w:tcW w:type="dxa" w:w="3370"/>
          </w:tcPr>
          <w:p>
            <w:pPr>
              <w:spacing w:after="60" w:before="60"/>
            </w:pPr>
            <w:r>
              <w:rPr>
                <w:sz w:val="19"/>
              </w:rPr>
              <w:t>$56 per hour; operator staffing is additional</w:t>
            </w:r>
          </w:p>
        </w:tc>
        <w:tc>
          <w:tcPr>
            <w:tcW w:type="dxa" w:w="2520"/>
          </w:tcPr>
          <w:p>
            <w:pPr>
              <w:spacing w:after="60" w:before="60"/>
            </w:pPr>
            <w:r>
              <w:rPr>
                <w:sz w:val="19"/>
              </w:rPr>
            </w:r>
          </w:p>
        </w:tc>
        <w:tc>
          <w:tcPr>
            <w:tcW w:type="dxa" w:w="1656"/>
          </w:tcPr>
          <w:p>
            <w:pPr>
              <w:spacing w:after="60" w:before="60"/>
            </w:pPr>
            <w:r>
              <w:rPr>
                <w:sz w:val="19"/>
              </w:rPr>
            </w:r>
          </w:p>
        </w:tc>
      </w:tr>
      <w:tr>
        <w:tc>
          <w:tcPr>
            <w:tcW w:type="dxa" w:w="2045"/>
          </w:tcPr>
          <w:p>
            <w:pPr>
              <w:spacing w:after="60" w:before="60"/>
            </w:pPr>
            <w:r>
              <w:rPr>
                <w:sz w:val="19"/>
              </w:rPr>
              <w:t>Tractor</w:t>
            </w:r>
          </w:p>
        </w:tc>
        <w:tc>
          <w:tcPr>
            <w:tcW w:type="dxa" w:w="3370"/>
          </w:tcPr>
          <w:p>
            <w:pPr>
              <w:spacing w:after="60" w:before="60"/>
            </w:pPr>
            <w:r>
              <w:rPr>
                <w:sz w:val="19"/>
              </w:rPr>
              <w:t>$35 per hour</w:t>
            </w:r>
          </w:p>
        </w:tc>
        <w:tc>
          <w:tcPr>
            <w:tcW w:type="dxa" w:w="2520"/>
          </w:tcPr>
          <w:p>
            <w:pPr>
              <w:spacing w:after="60" w:before="60"/>
            </w:pPr>
            <w:r>
              <w:rPr>
                <w:sz w:val="19"/>
              </w:rPr>
            </w:r>
          </w:p>
        </w:tc>
        <w:tc>
          <w:tcPr>
            <w:tcW w:type="dxa" w:w="1656"/>
          </w:tcPr>
          <w:p>
            <w:pPr>
              <w:spacing w:after="60" w:before="60"/>
            </w:pPr>
            <w:r>
              <w:rPr>
                <w:sz w:val="19"/>
              </w:rPr>
            </w:r>
          </w:p>
        </w:tc>
      </w:tr>
      <w:tr>
        <w:tc>
          <w:tcPr>
            <w:tcW w:type="dxa" w:w="2045"/>
          </w:tcPr>
          <w:p>
            <w:pPr>
              <w:spacing w:after="60" w:before="60"/>
            </w:pPr>
            <w:r>
              <w:rPr>
                <w:sz w:val="19"/>
              </w:rPr>
              <w:t>Staffing</w:t>
            </w:r>
          </w:p>
        </w:tc>
        <w:tc>
          <w:tcPr>
            <w:tcW w:type="dxa" w:w="3370"/>
          </w:tcPr>
          <w:p>
            <w:pPr>
              <w:spacing w:after="60" w:before="60"/>
            </w:pPr>
            <w:r>
              <w:rPr>
                <w:sz w:val="19"/>
              </w:rPr>
              <w:t>$34 per hour</w:t>
            </w:r>
          </w:p>
        </w:tc>
        <w:tc>
          <w:tcPr>
            <w:tcW w:type="dxa" w:w="2520"/>
          </w:tcPr>
          <w:p>
            <w:pPr>
              <w:spacing w:after="60" w:before="60"/>
            </w:pPr>
            <w:r>
              <w:rPr>
                <w:sz w:val="19"/>
              </w:rPr>
            </w:r>
          </w:p>
        </w:tc>
        <w:tc>
          <w:tcPr>
            <w:tcW w:type="dxa" w:w="1656"/>
          </w:tcPr>
          <w:p>
            <w:pPr>
              <w:spacing w:after="60" w:before="60"/>
            </w:pPr>
            <w:r>
              <w:rPr>
                <w:sz w:val="19"/>
              </w:rPr>
            </w:r>
          </w:p>
        </w:tc>
      </w:tr>
    </w:tbl>
    <w:p>
      <w:pPr>
        <w:pStyle w:val="Heading2"/>
      </w:pPr>
      <w:r>
        <w:t>Main Arena rental terms</w:t>
      </w:r>
    </w:p>
    <w:p>
      <w:r>
        <w:t>Main Arena rental includes the spectator area and grandstands, as well as grooming and watering of the Main Arena, Practice Arena, and parking areas as needed before and during the event. The arena may be divided into two arenas using available temporary fencing. Hourly staffing and tractor rates apply to installation and removal of the temporary fencing.</w:t>
      </w:r>
    </w:p>
    <w:p>
      <w:pPr>
        <w:pStyle w:val="Heading2"/>
      </w:pPr>
      <w:r>
        <w:t>Local organization discounts</w:t>
      </w:r>
    </w:p>
    <w:p>
      <w:r>
        <w:t>Washington County nonprofits, schools, churches, cities, and organizations that do not charge an entry or admission fee to participate in the event may reserve and use the Main Arena at no charge if no City staff, tractor, or water truck is required during the event. If any of these are required during the event, the local group receives a 50% discount off the normal rental rate. This discount applies only to weekday rentals; holidays are excluded. City-sponsored events are not subject to fees.</w:t>
      </w:r>
    </w:p>
    <w:p>
      <w:r>
        <w:br w:type="page"/>
      </w:r>
    </w:p>
    <w:p>
      <w:pPr>
        <w:pStyle w:val="Heading1"/>
      </w:pPr>
      <w:r>
        <w:t>Public access and event requirements</w:t>
      </w:r>
    </w:p>
    <w:p>
      <w:pPr>
        <w:pStyle w:val="Heading2"/>
      </w:pPr>
      <w:r>
        <w:t>Practice Arena</w:t>
      </w:r>
    </w:p>
    <w:p>
      <w:r>
        <w:t>The Practice Arena is open to the public at no charge for personal, noncommercial equestrian use. It cannot be reserved. Commercial activities and events are prohibited unless sponsored by the City.</w:t>
      </w:r>
    </w:p>
    <w:p>
      <w:r>
        <w:t>When the Main Arena is rented, event participants may use the Practice Arena for warmups and practice associated with the event. Members of the public may not be excluded from the Practice Arena.</w:t>
      </w:r>
    </w:p>
    <w:p>
      <w:pPr>
        <w:pStyle w:val="Heading2"/>
      </w:pPr>
      <w:r>
        <w:t>Main Arena public use</w:t>
      </w:r>
    </w:p>
    <w:p>
      <w:r>
        <w:t>The Main Arena may be reserved only upon payment of the applicable rental fee, subject to the discount provisions on the preceding page. When the arena is not reserved, the public may use it for personal, noncommercial equestrian purposes. The City may exclude the public from the Main Arena while preparing for a reservation.</w:t>
      </w:r>
    </w:p>
    <w:p>
      <w:pPr>
        <w:pStyle w:val="Heading2"/>
      </w:pPr>
      <w:r>
        <w:t>Lighting and sound</w:t>
      </w:r>
    </w:p>
    <w:p>
      <w:pPr>
        <w:pStyle w:val="ListBullet"/>
      </w:pPr>
      <w:r>
        <w:t>Lighting is managed by City staff and is available during designated hours of operation. All park lighting must be turned off by midnight.</w:t>
      </w:r>
    </w:p>
    <w:p>
      <w:pPr>
        <w:pStyle w:val="ListBullet"/>
      </w:pPr>
      <w:r>
        <w:t>PA systems and speakers may not be used between 11:00 p.m. and 6:00 a.m.</w:t>
      </w:r>
    </w:p>
    <w:p>
      <w:pPr>
        <w:pStyle w:val="Heading2"/>
      </w:pPr>
      <w:r>
        <w:t>Ticketed events</w:t>
      </w:r>
    </w:p>
    <w:p>
      <w:r>
        <w:t>Events that charge spectators admission must obtain an Event Permit as required by Hurricane City Code, Title 7, Chapter 7.</w:t>
      </w:r>
    </w:p>
    <w:p>
      <w:pPr>
        <w:pStyle w:val="Heading2"/>
      </w:pPr>
      <w:r>
        <w:t>Weather refunds</w:t>
      </w:r>
    </w:p>
    <w:p>
      <w:r>
        <w:t>In the event of inclement weather, the user may choose to reschedule to another available date or receive a prorated refund of the rental fee, subject to a 15% processing fee.</w:t>
      </w:r>
    </w:p>
    <w:p>
      <w:pPr>
        <w:pStyle w:val="Heading2"/>
      </w:pPr>
      <w:r>
        <w:t>Playground and park area</w:t>
      </w:r>
    </w:p>
    <w:p>
      <w:r>
        <w:t>The playground and park area at the entrance must remain accessible to the public at all times, regardless of events scheduled at the Equestrian Park.</w:t>
      </w:r>
    </w:p>
    <w:p>
      <w:pPr>
        <w:pStyle w:val="Heading2"/>
      </w:pPr>
      <w:r>
        <w:t>Activities other than equestrian use</w:t>
      </w:r>
    </w:p>
    <w:p>
      <w:r>
        <w:t>The park is primarily intended for equestrian use. City staff may permit events that do not involve equestrian activities or livestock if staff determine that the event will not damage the facility or interfere with the park’s equestrian purpose. Activities such as mud bogging that may affect the arenas’ topsoil are prohibited.</w:t>
      </w:r>
    </w:p>
    <w:p>
      <w:pPr>
        <w:pStyle w:val="Heading2"/>
      </w:pPr>
      <w:r>
        <w:t>Damage and repairs</w:t>
      </w:r>
    </w:p>
    <w:p>
      <w:r>
        <w:t>Anyone using the Equestrian Park is responsible for paying to repair damage they cause to park facilities, excluding normal wear and tear.</w:t>
      </w:r>
    </w:p>
    <w:p>
      <w:r>
        <w:br w:type="page"/>
      </w:r>
    </w:p>
    <w:p>
      <w:pPr>
        <w:pStyle w:val="Heading1"/>
      </w:pPr>
      <w:r>
        <w:t>Livestock pens and park stewardship</w:t>
      </w:r>
    </w:p>
    <w:p>
      <w:pPr>
        <w:pStyle w:val="Heading2"/>
      </w:pPr>
      <w:r>
        <w:t>Overnight livestock use</w:t>
      </w:r>
    </w:p>
    <w:p>
      <w:r>
        <w:t>Horses may not be housed in the livestock pens, except for bucking stock. Pens may be rented for overnight livestock housing at the established daily and weekly rates. Owners are solely responsible for their livestock’s feed, water, and wellbeing. Livestock housed at the park must regularly be used in conjunction with the facilities.</w:t>
      </w:r>
    </w:p>
    <w:p>
      <w:r>
        <w:t>City staff may require immediate removal of livestock if, in staff’s sole discretion, the animals are a danger to themselves or others, are not adequately cared for, or are not regularly used in conjunction with the park. If the Main Arena is rented and the pens are needed for the event, livestock owners must remove their animals upon 72 hours’ notice from the City.</w:t>
      </w:r>
    </w:p>
    <w:p>
      <w:pPr>
        <w:pStyle w:val="Heading2"/>
      </w:pPr>
      <w:r>
        <w:t>Livestock liability and lien</w:t>
      </w:r>
    </w:p>
    <w:p>
      <w:r>
        <w:t>Hurricane City is not liable for any damage, injury, or death of livestock housed or used at the Equestrian Park, and the owner of the livestock housed at the Equestrian Park shall indemnify and defend Hurricane City from any damage, injury, or death resulting from or in any way relating to the livestock housed at the Equestrian Park.</w:t>
      </w:r>
    </w:p>
    <w:p>
      <w:r>
        <w:t>Hurricane City shall have a lien on livestock housed at the Equestrian Park as allowed by Utah Code section 38-2-1.</w:t>
      </w:r>
    </w:p>
    <w:p>
      <w:pPr>
        <w:pStyle w:val="Heading2"/>
      </w:pPr>
      <w:r>
        <w:t>Inherent risk</w:t>
      </w:r>
    </w:p>
    <w:p>
      <w:r>
        <w:t>Any individual using the Equestrian Park agrees that Hurricane City and other equine or livestock activity sponsors are not liable for the inherent risks associated with these activities, as set forth in Utah Code sections 78B-4-201, 203.</w:t>
      </w:r>
    </w:p>
    <w:p>
      <w:pPr>
        <w:pStyle w:val="Heading2"/>
      </w:pPr>
      <w:r>
        <w:t>American Legion legacy</w:t>
      </w:r>
    </w:p>
    <w:p>
      <w:r>
        <w:t>Hurricane City acknowledges that the Equestrian Park is a legacy of the Hurricane American Legion. The former rodeo grounds at 800 North and 200 West were given to the City under an agreement that the property would continue to serve the local horse community. Those grounds served the community for several decades before being relocated, with the American Legion’s consent, to the current Hurricane American Legion Equestrian Park.</w:t>
      </w:r>
    </w:p>
    <w:p>
      <w:r>
        <w:t>In recognition of the American Legion’s gift and its intent, the park’s primary purpose is to serve the local horse community. City staff may limit commercial event reservations to preserve adequate unreserved public-use periods, including some weekends.</w:t>
      </w:r>
    </w:p>
    <w:sectPr w:rsidR="00FC693F" w:rsidRPr="0006063C" w:rsidSect="00034616">
      <w:footerReference w:type="default" r:id="rId9"/>
      <w:pgSz w:w="12240" w:h="15840"/>
      <w:pgMar w:top="936" w:right="1008" w:bottom="93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sz w:val="18"/>
      </w:rPr>
      <w:t xml:space="preserve">Hurricane American Legion Equestrian Park  |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Calibri" w:hAnsi="Calibri"/>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Calibri" w:hAnsi="Calibri"/>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Calibri" w:hAnsi="Calibri"/>
      <w:color w:val="000000"/>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Hurricane American Legion Equestrian Park Policy</dc:title>
  <dc:subject/>
  <dc:creator>Hurricane City Recreation</dc:creator>
  <cp:keywords/>
  <dc:description>generated by python-docx</dc:description>
  <cp:lastModifiedBy/>
  <cp:revision>1</cp:revision>
  <dcterms:created xsi:type="dcterms:W3CDTF">2013-12-23T23:15:00Z</dcterms:created>
  <dcterms:modified xsi:type="dcterms:W3CDTF">2013-12-23T23:15:00Z</dcterms:modified>
  <cp:category/>
</cp:coreProperties>
</file>